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09B" w:rsidP="6E2B4932" w:rsidRDefault="00D1409B" w14:paraId="06CD09F2" w14:textId="3194268F">
      <w:pPr>
        <w:keepNext w:val="1"/>
        <w:keepLines/>
        <w:pBdr>
          <w:top w:val="nil"/>
          <w:left w:val="nil"/>
          <w:bottom w:val="nil"/>
          <w:right w:val="nil"/>
          <w:between w:val="nil"/>
        </w:pBdr>
        <w:rPr>
          <w:b w:val="1"/>
          <w:bCs w:val="1"/>
          <w:color w:val="02394D"/>
          <w:sz w:val="36"/>
          <w:szCs w:val="36"/>
        </w:rPr>
      </w:pPr>
      <w:r w:rsidRPr="59323B8D" w:rsidR="59323B8D">
        <w:rPr>
          <w:b w:val="1"/>
          <w:bCs w:val="1"/>
          <w:color w:val="02394D"/>
          <w:sz w:val="36"/>
          <w:szCs w:val="36"/>
        </w:rPr>
        <w:t xml:space="preserve">Vaccines Europe – Realising the full Value of </w:t>
      </w:r>
      <w:sdt>
        <w:sdtPr>
          <w:id w:val="1496464269"/>
          <w:tag w:val="goog_rdk_0"/>
          <w:placeholder>
            <w:docPart w:val="DefaultPlaceholder_1081868574"/>
          </w:placeholder>
        </w:sdtPr>
        <w:sdtContent/>
      </w:sdt>
      <w:r w:rsidRPr="59323B8D" w:rsidR="59323B8D">
        <w:rPr>
          <w:b w:val="1"/>
          <w:bCs w:val="1"/>
          <w:color w:val="02394D"/>
          <w:sz w:val="36"/>
          <w:szCs w:val="36"/>
        </w:rPr>
        <w:t>Vaccination</w:t>
      </w:r>
    </w:p>
    <w:p w:rsidR="00127C97" w:rsidRDefault="00127C97" w14:paraId="387D157D" w14:textId="426D19AA"/>
    <w:p w:rsidR="00D1409B" w:rsidP="00D1409B" w:rsidRDefault="00D1409B" w14:paraId="75234D18" w14:textId="77777777">
      <w:pPr>
        <w:pBdr>
          <w:top w:val="nil"/>
          <w:left w:val="nil"/>
          <w:bottom w:val="nil"/>
          <w:right w:val="nil"/>
          <w:between w:val="nil"/>
        </w:pBdr>
        <w:rPr>
          <w:b/>
          <w:color w:val="A80061"/>
          <w:sz w:val="28"/>
          <w:szCs w:val="28"/>
        </w:rPr>
      </w:pPr>
      <w:r>
        <w:rPr>
          <w:b/>
          <w:color w:val="A80061"/>
          <w:sz w:val="28"/>
          <w:szCs w:val="28"/>
        </w:rPr>
        <w:t>Blog post (</w:t>
      </w:r>
      <w:proofErr w:type="spellStart"/>
      <w:r>
        <w:rPr>
          <w:b/>
          <w:color w:val="A80061"/>
          <w:sz w:val="28"/>
          <w:szCs w:val="28"/>
        </w:rPr>
        <w:t>Sibilia</w:t>
      </w:r>
      <w:proofErr w:type="spellEnd"/>
      <w:r>
        <w:rPr>
          <w:b/>
          <w:color w:val="A80061"/>
          <w:sz w:val="28"/>
          <w:szCs w:val="28"/>
        </w:rPr>
        <w:t xml:space="preserve"> </w:t>
      </w:r>
      <w:proofErr w:type="spellStart"/>
      <w:r>
        <w:rPr>
          <w:b/>
          <w:color w:val="A80061"/>
          <w:sz w:val="28"/>
          <w:szCs w:val="28"/>
        </w:rPr>
        <w:t>Quilici</w:t>
      </w:r>
      <w:proofErr w:type="spellEnd"/>
      <w:r>
        <w:rPr>
          <w:b/>
          <w:color w:val="A80061"/>
          <w:sz w:val="28"/>
          <w:szCs w:val="28"/>
        </w:rPr>
        <w:t>)</w:t>
      </w:r>
    </w:p>
    <w:p w:rsidR="00D1409B" w:rsidP="00D1409B" w:rsidRDefault="00D1409B" w14:paraId="347866BC" w14:textId="64916203">
      <w:pPr>
        <w:pBdr>
          <w:top w:val="nil"/>
          <w:left w:val="nil"/>
          <w:bottom w:val="nil"/>
          <w:right w:val="nil"/>
          <w:between w:val="nil"/>
        </w:pBdr>
        <w:rPr>
          <w:color w:val="02394D"/>
        </w:rPr>
      </w:pPr>
    </w:p>
    <w:p w:rsidR="00D1409B" w:rsidRDefault="00D1409B" w14:paraId="2FED0F80" w14:textId="0A0A0DD8"/>
    <w:p w:rsidR="00D1409B" w:rsidP="6E2B4932" w:rsidRDefault="00D1409B" w14:paraId="0A192B47" w14:textId="3E1A2F64">
      <w:pPr>
        <w:pBdr>
          <w:top w:val="nil"/>
          <w:left w:val="nil"/>
          <w:bottom w:val="nil"/>
          <w:right w:val="nil"/>
          <w:between w:val="nil"/>
        </w:pBdr>
        <w:rPr>
          <w:rStyle w:val="EndnoteReference"/>
          <w:color w:val="02394D"/>
        </w:rPr>
      </w:pPr>
      <w:r w:rsidRPr="6E2B4932" w:rsidR="6E2B4932">
        <w:rPr>
          <w:color w:val="02394D"/>
        </w:rPr>
        <w:t>In the space of a little more than a year, vaccines, in combination with other public health measures, have allowed us to build a stronger response against the COVID-19 pandemic and the rise of more contagious variants,</w:t>
      </w:r>
      <w:r w:rsidR="6E2B4932">
        <w:rPr/>
        <w:t xml:space="preserve"> </w:t>
      </w:r>
      <w:r w:rsidRPr="6E2B4932" w:rsidR="6E2B4932">
        <w:rPr>
          <w:color w:val="02394D"/>
        </w:rPr>
        <w:t xml:space="preserve">allowing EU citizen to live a healthier, more active and more normal lives. </w:t>
      </w:r>
      <w:r w:rsidRPr="6E2B4932">
        <w:rPr>
          <w:rStyle w:val="FootnoteReference"/>
          <w:color w:val="02394D"/>
        </w:rPr>
        <w:footnoteReference w:id="28202"/>
      </w:r>
    </w:p>
    <w:p w:rsidR="00D1409B" w:rsidP="00D1409B" w:rsidRDefault="00D1409B" w14:paraId="6A66838E" w14:textId="79D1E05C">
      <w:pPr>
        <w:pBdr>
          <w:top w:val="nil"/>
          <w:left w:val="nil"/>
          <w:bottom w:val="nil"/>
          <w:right w:val="nil"/>
          <w:between w:val="nil"/>
        </w:pBdr>
        <w:rPr>
          <w:color w:val="02394D"/>
        </w:rPr>
      </w:pPr>
    </w:p>
    <w:p w:rsidRPr="00D1409B" w:rsidR="00D1409B" w:rsidP="00D1409B" w:rsidRDefault="00D1409B" w14:paraId="08C1A43C" w14:textId="4337A0BD">
      <w:pPr>
        <w:pBdr>
          <w:top w:val="nil"/>
          <w:left w:val="nil"/>
          <w:bottom w:val="nil"/>
          <w:right w:val="nil"/>
          <w:between w:val="nil"/>
        </w:pBdr>
        <w:rPr>
          <w:color w:val="02394D"/>
          <w:vertAlign w:val="superscript"/>
        </w:rPr>
      </w:pPr>
      <w:r>
        <w:rPr>
          <w:color w:val="02394D"/>
        </w:rPr>
        <w:t xml:space="preserve">Nearly half </w:t>
      </w:r>
      <w:r>
        <w:rPr>
          <w:color w:val="02394D"/>
        </w:rPr>
        <w:t>a million</w:t>
      </w:r>
      <w:r>
        <w:rPr>
          <w:color w:val="02394D"/>
        </w:rPr>
        <w:t xml:space="preserve"> lives have been saved among those aged 60 years and over since the start of COVID-19 vaccination roll-out in 33 countries across the WHO European Region</w:t>
      </w:r>
      <w:r>
        <w:rPr>
          <w:color w:val="02394D"/>
        </w:rPr>
        <w:t>.</w:t>
      </w:r>
      <w:r w:rsidRPr="00AB0EF0" w:rsidR="00AB0EF0">
        <w:rPr>
          <w:color w:val="02394D"/>
          <w:vertAlign w:val="superscript"/>
        </w:rPr>
      </w:r>
    </w:p>
    <w:p w:rsidRPr="00D1409B" w:rsidR="00D1409B" w:rsidP="00D1409B" w:rsidRDefault="00D1409B" w14:paraId="4B98293A" w14:textId="77777777">
      <w:pPr>
        <w:pBdr>
          <w:top w:val="nil"/>
          <w:left w:val="nil"/>
          <w:bottom w:val="nil"/>
          <w:right w:val="nil"/>
          <w:between w:val="nil"/>
        </w:pBdr>
        <w:rPr>
          <w:color w:val="02394D"/>
        </w:rPr>
      </w:pPr>
    </w:p>
    <w:p w:rsidR="00D1409B" w:rsidRDefault="00D1409B" w14:paraId="3EC1DF40" w14:textId="123D11F8">
      <w:pPr>
        <w:rPr>
          <w:color w:val="02394D"/>
        </w:rPr>
      </w:pPr>
      <w:r w:rsidRPr="6E2B4932" w:rsidR="6E2B4932">
        <w:rPr>
          <w:color w:val="02394D"/>
        </w:rPr>
        <w:t xml:space="preserve">However, we should not forget that vaccines are more than just a tool to fight outbreaks of infectious diseases. Today, and despite their relatively short history, vaccines can protect individuals across their lifespan against more than 20 life-threatening </w:t>
      </w:r>
      <w:proofErr w:type="gramStart"/>
      <w:r w:rsidRPr="6E2B4932" w:rsidR="6E2B4932">
        <w:rPr>
          <w:color w:val="02394D"/>
        </w:rPr>
        <w:t>infectious</w:t>
      </w:r>
      <w:proofErr w:type="gramEnd"/>
      <w:r w:rsidRPr="6E2B4932" w:rsidR="6E2B4932">
        <w:rPr>
          <w:color w:val="02394D"/>
        </w:rPr>
        <w:t xml:space="preserve"> diseases.</w:t>
      </w:r>
    </w:p>
    <w:p w:rsidR="00D1409B" w:rsidP="6E2B4932" w:rsidRDefault="00834C15" w14:paraId="7FFD5C9C" w14:textId="413422D9">
      <w:pPr>
        <w:rPr>
          <w:color w:val="02394D"/>
          <w:vertAlign w:val="superscript"/>
        </w:rPr>
      </w:pPr>
      <w:r>
        <w:rPr>
          <w:color w:val="02394D"/>
        </w:rPr>
        <w:t xml:space="preserve">Vaccines have demonstrated to be </w:t>
      </w:r>
      <w:r w:rsidR="00D1409B">
        <w:rPr>
          <w:color w:val="02394D"/>
        </w:rPr>
        <w:t xml:space="preserve">one of the most successful healthcare interventions of our time, saving up to </w:t>
      </w:r>
      <w:sdt>
        <w:sdtPr>
          <w:tag w:val="goog_rdk_35"/>
          <w:id w:val="629757577"/>
          <w:placeholder>
            <w:docPart w:val="DefaultPlaceholder_1081868574"/>
          </w:placeholder>
        </w:sdtPr>
        <w:sdtContent/>
      </w:sdt>
      <w:r w:rsidR="00D1409B">
        <w:rPr>
          <w:color w:val="02394D"/>
        </w:rPr>
        <w:t>5 million lives globally each year</w:t>
      </w:r>
      <w:r w:rsidR="00D1409B">
        <w:rPr>
          <w:color w:val="02394D"/>
        </w:rPr>
        <w:t>. An additional 1.5 million could be saved by improving global coverage.</w:t>
      </w:r>
      <w:r w:rsidRPr="6E2B4932">
        <w:rPr>
          <w:rStyle w:val="FootnoteReference"/>
          <w:color w:val="02394D"/>
          <w:vertAlign w:val="superscript"/>
        </w:rPr>
        <w:footnoteReference w:id="10449"/>
      </w:r>
      <w:r w:rsidRPr="00AB0EF0" w:rsidR="00AB0EF0">
        <w:rPr>
          <w:color w:val="02394D"/>
          <w:vertAlign w:val="superscript"/>
        </w:rPr>
      </w:r>
    </w:p>
    <w:p w:rsidR="00D1409B" w:rsidRDefault="00D1409B" w14:paraId="0B3B2954" w14:textId="00ED3ABD">
      <w:pPr>
        <w:rPr>
          <w:color w:val="02394D"/>
        </w:rPr>
      </w:pPr>
    </w:p>
    <w:p w:rsidR="00D1409B" w:rsidP="6E2B4932" w:rsidRDefault="00D1409B" w14:paraId="27F30F85" w14:textId="404093ED">
      <w:pPr>
        <w:rPr>
          <w:color w:val="02394D"/>
          <w:vertAlign w:val="superscript"/>
        </w:rPr>
      </w:pPr>
      <w:r>
        <w:rPr>
          <w:color w:val="02394D"/>
        </w:rPr>
        <w:t>Vaccines are also instrumental in the fight against antimicrobial resistance (AMR).</w:t>
      </w:r>
      <w:r>
        <w:rPr>
          <w:color w:val="02394D"/>
        </w:rPr>
        <w:t xml:space="preserve"> </w:t>
      </w:r>
      <w:r>
        <w:rPr>
          <w:color w:val="02394D"/>
        </w:rPr>
        <w:t>By preventing diseases and reducing the demand and misuse of antibiotics</w:t>
      </w:r>
      <w:r>
        <w:rPr>
          <w:color w:val="02394D"/>
        </w:rPr>
        <w:t>, t</w:t>
      </w:r>
      <w:r>
        <w:rPr>
          <w:color w:val="02394D"/>
        </w:rPr>
        <w:t>hereby safeguarding their</w:t>
      </w:r>
      <w:r>
        <w:rPr>
          <w:color w:val="02394D"/>
        </w:rPr>
        <w:t xml:space="preserve"> </w:t>
      </w:r>
      <w:r>
        <w:rPr>
          <w:color w:val="02394D"/>
        </w:rPr>
        <w:t>effectiveness</w:t>
      </w:r>
      <w:r>
        <w:rPr>
          <w:color w:val="02394D"/>
        </w:rPr>
        <w:t xml:space="preserve">, </w:t>
      </w:r>
      <w:r>
        <w:rPr>
          <w:color w:val="02394D"/>
        </w:rPr>
        <w:t xml:space="preserve">vaccines are </w:t>
      </w:r>
      <w:sdt>
        <w:sdtPr>
          <w:tag w:val="goog_rdk_51"/>
          <w:id w:val="753784892"/>
          <w:placeholder>
            <w:docPart w:val="DefaultPlaceholder_1081868574"/>
          </w:placeholder>
        </w:sdtPr>
        <w:sdtContent>
          <w:r>
            <w:rPr>
              <w:color w:val="02394D"/>
            </w:rPr>
            <w:t xml:space="preserve">a </w:t>
          </w:r>
        </w:sdtContent>
      </w:sdt>
      <w:r>
        <w:rPr>
          <w:color w:val="02394D"/>
        </w:rPr>
        <w:t>key ally against a</w:t>
      </w:r>
      <w:r>
        <w:rPr>
          <w:color w:val="02394D"/>
        </w:rPr>
        <w:t xml:space="preserve"> threat so called the slide to pandemic, </w:t>
      </w:r>
      <w:r>
        <w:rPr>
          <w:color w:val="02394D"/>
        </w:rPr>
        <w:t>that could claim 10 million lives a year by 2050</w:t>
      </w:r>
      <w:r w:rsidR="00AB0EF0">
        <w:rPr>
          <w:color w:val="02394D"/>
        </w:rPr>
        <w:t>.</w:t>
      </w:r>
      <w:r w:rsidRPr="6E2B4932">
        <w:rPr>
          <w:rStyle w:val="FootnoteReference"/>
          <w:color w:val="02394D"/>
          <w:vertAlign w:val="superscript"/>
        </w:rPr>
        <w:footnoteReference w:id="30047"/>
      </w:r>
      <w:r w:rsidRPr="00AB0EF0" w:rsidR="00AB0EF0">
        <w:rPr>
          <w:color w:val="02394D"/>
          <w:vertAlign w:val="superscript"/>
        </w:rPr>
      </w:r>
    </w:p>
    <w:p w:rsidR="00D1409B" w:rsidRDefault="00D1409B" w14:paraId="157403FD" w14:textId="1EC9C6E5"/>
    <w:p w:rsidR="00607D89" w:rsidP="00607D89" w:rsidRDefault="00D1409B" w14:paraId="796B6DB2" w14:textId="119058AA">
      <w:pPr>
        <w:pBdr>
          <w:top w:val="nil"/>
          <w:left w:val="nil"/>
          <w:bottom w:val="nil"/>
          <w:right w:val="nil"/>
          <w:between w:val="nil"/>
        </w:pBdr>
        <w:rPr>
          <w:color w:val="02394D"/>
        </w:rPr>
      </w:pPr>
      <w:r w:rsidRPr="6E2B4932" w:rsidR="6E2B4932">
        <w:rPr>
          <w:color w:val="02394D"/>
        </w:rPr>
        <w:t>And all this public health benefit at a very little cost! Vaccinating an individual against up to 17 diseases throughout its entire life is estimated to cost less than 3,500 Euros in Europe.</w:t>
      </w:r>
      <w:r w:rsidRPr="6E2B4932">
        <w:rPr>
          <w:rStyle w:val="FootnoteReference"/>
          <w:color w:val="02394D"/>
          <w:vertAlign w:val="superscript"/>
        </w:rPr>
        <w:footnoteReference w:id="30088"/>
      </w:r>
      <w:r w:rsidRPr="6E2B4932" w:rsidR="6E2B4932">
        <w:rPr>
          <w:color w:val="02394D"/>
          <w:vertAlign w:val="superscript"/>
        </w:rPr>
        <w:t xml:space="preserve"> </w:t>
      </w:r>
      <w:r w:rsidRPr="6E2B4932" w:rsidR="6E2B4932">
        <w:rPr>
          <w:color w:val="02394D"/>
        </w:rPr>
        <w:t xml:space="preserve">This number is much lower than the cost of many </w:t>
      </w:r>
      <w:r w:rsidRPr="6E2B4932" w:rsidR="6E2B4932">
        <w:rPr>
          <w:color w:val="02394D"/>
        </w:rPr>
        <w:t>mass</w:t>
      </w:r>
      <w:r w:rsidRPr="6E2B4932" w:rsidR="6E2B4932">
        <w:rPr>
          <w:color w:val="02394D"/>
        </w:rPr>
        <w:t xml:space="preserve"> secondary preventive interventions.</w:t>
      </w:r>
    </w:p>
    <w:p w:rsidR="00607D89" w:rsidP="00607D89" w:rsidRDefault="00607D89" w14:paraId="16739C07" w14:textId="6C356F03">
      <w:pPr>
        <w:pBdr>
          <w:top w:val="nil"/>
          <w:left w:val="nil"/>
          <w:bottom w:val="nil"/>
          <w:right w:val="nil"/>
          <w:between w:val="nil"/>
        </w:pBdr>
        <w:rPr>
          <w:color w:val="02394D"/>
        </w:rPr>
      </w:pPr>
    </w:p>
    <w:p w:rsidR="00607D89" w:rsidP="00607D89" w:rsidRDefault="00607D89" w14:paraId="58F0C850" w14:textId="74811423">
      <w:pPr>
        <w:pBdr>
          <w:top w:val="nil"/>
          <w:left w:val="nil"/>
          <w:bottom w:val="nil"/>
          <w:right w:val="nil"/>
          <w:between w:val="nil"/>
        </w:pBdr>
        <w:rPr>
          <w:color w:val="02394D"/>
        </w:rPr>
      </w:pPr>
      <w:r>
        <w:rPr>
          <w:color w:val="02394D"/>
        </w:rPr>
        <w:t>A</w:t>
      </w:r>
      <w:r>
        <w:rPr>
          <w:color w:val="02394D"/>
        </w:rPr>
        <w:t>lso, as we approach the peak of flu season, it</w:t>
      </w:r>
      <w:r>
        <w:rPr/>
        <w:t xml:space="preserve"> is </w:t>
      </w:r>
      <w:r>
        <w:rPr>
          <w:color w:val="02394D"/>
        </w:rPr>
        <w:t>important to</w:t>
      </w:r>
      <w:r>
        <w:rPr>
          <w:color w:val="02394D"/>
        </w:rPr>
        <w:t xml:space="preserve"> remind that </w:t>
      </w:r>
      <w:r>
        <w:rPr>
          <w:color w:val="02394D"/>
        </w:rPr>
        <w:t xml:space="preserve">influenza vaccination can save </w:t>
      </w:r>
      <w:sdt>
        <w:sdtPr>
          <w:tag w:val="goog_rdk_88"/>
          <w:id w:val="29615088"/>
          <w:placeholder>
            <w:docPart w:val="DefaultPlaceholder_1081868574"/>
          </w:placeholder>
        </w:sdtPr>
        <w:sdtContent>
          <w:sdt>
            <w:sdtPr>
              <w:tag w:val="goog_rdk_89"/>
              <w:id w:val="-988470748"/>
              <w:placeholder>
                <w:docPart w:val="DefaultPlaceholder_1081868574"/>
              </w:placeholder>
            </w:sdtPr>
            <w:sdtContent/>
          </w:sdt>
        </w:sdtContent>
      </w:sdt>
      <w:sdt>
        <w:sdtPr>
          <w:tag w:val="goog_rdk_90"/>
          <w:id w:val="-595787688"/>
          <w:placeholder>
            <w:docPart w:val="DefaultPlaceholder_1081868574"/>
          </w:placeholder>
        </w:sdtPr>
        <w:sdtContent>
          <w:r>
            <w:rPr>
              <w:color w:val="02394D"/>
            </w:rPr>
            <w:t>up to</w:t>
          </w:r>
        </w:sdtContent>
      </w:sdt>
      <w:r>
        <w:rPr>
          <w:color w:val="02394D"/>
        </w:rPr>
        <w:t xml:space="preserve"> 332 million Euros in healthcare costs</w:t>
      </w:r>
      <w:r>
        <w:rPr/>
        <w:t xml:space="preserve"> in Europe by freeing hospital beds and drastically reducing </w:t>
      </w:r>
      <w:r>
        <w:rPr>
          <w:color w:val="02394D"/>
        </w:rPr>
        <w:t>visits to healthcare professionals.</w:t>
      </w:r>
      <w:r w:rsidRPr="6E2B4932">
        <w:rPr>
          <w:rStyle w:val="FootnoteReference"/>
          <w:color w:val="02394D"/>
          <w:vertAlign w:val="superscript"/>
        </w:rPr>
        <w:footnoteReference w:id="3629"/>
      </w:r>
      <w:r w:rsidRPr="6E2B4932">
        <w:rPr>
          <w:rStyle w:val="FootnoteReference"/>
          <w:color w:val="02394D"/>
        </w:rPr>
        <w:footnoteReference w:id="2886"/>
      </w:r>
      <w:r w:rsidRPr="0077441D" w:rsidR="0077441D">
        <w:rPr>
          <w:color w:val="02394D"/>
          <w:vertAlign w:val="superscript"/>
        </w:rPr>
      </w:r>
      <w:r w:rsidR="0077441D">
        <w:rPr>
          <w:color w:val="02394D"/>
          <w:vertAlign w:val="superscript"/>
        </w:rPr>
      </w:r>
    </w:p>
    <w:p w:rsidR="00607D89" w:rsidP="00607D89" w:rsidRDefault="00607D89" w14:paraId="205B242B" w14:textId="32ABA929">
      <w:pPr>
        <w:pBdr>
          <w:top w:val="nil"/>
          <w:left w:val="nil"/>
          <w:bottom w:val="nil"/>
          <w:right w:val="nil"/>
          <w:between w:val="nil"/>
        </w:pBdr>
        <w:rPr>
          <w:color w:val="02394D"/>
        </w:rPr>
      </w:pPr>
    </w:p>
    <w:p w:rsidR="00607D89" w:rsidP="00607D89" w:rsidRDefault="00607D89" w14:paraId="7E856AD9" w14:textId="50354432">
      <w:pPr>
        <w:pBdr>
          <w:top w:val="nil"/>
          <w:left w:val="nil"/>
          <w:bottom w:val="nil"/>
          <w:right w:val="nil"/>
          <w:between w:val="nil"/>
        </w:pBdr>
        <w:rPr>
          <w:color w:val="02394D"/>
        </w:rPr>
      </w:pPr>
      <w:r w:rsidRPr="6E2B4932" w:rsidR="6E2B4932">
        <w:rPr>
          <w:color w:val="02394D"/>
        </w:rPr>
        <w:t>So, not only do vaccines and vaccinations save lives, but they also help economies stay afloat, and have bear the potential to make our healthcare systems more resilient and sustainable.</w:t>
      </w:r>
    </w:p>
    <w:p w:rsidR="00607D89" w:rsidP="6E2B4932" w:rsidRDefault="00607D89" w14:paraId="51627EDE" w14:textId="153B9E69">
      <w:pPr>
        <w:pBdr>
          <w:top w:val="nil"/>
          <w:left w:val="nil"/>
          <w:bottom w:val="nil"/>
          <w:right w:val="nil"/>
          <w:between w:val="nil"/>
        </w:pBdr>
        <w:rPr>
          <w:color w:val="02394D"/>
          <w:vertAlign w:val="superscript"/>
        </w:rPr>
      </w:pPr>
      <w:r>
        <w:rPr>
          <w:color w:val="02394D"/>
        </w:rPr>
        <w:t xml:space="preserve">And yet, despite these obvious benefits, </w:t>
      </w:r>
      <w:sdt>
        <w:sdtPr>
          <w:tag w:val="goog_rdk_102"/>
          <w:id w:val="321165896"/>
          <w:placeholder>
            <w:docPart w:val="DefaultPlaceholder_1081868574"/>
          </w:placeholder>
        </w:sdtPr>
        <w:sdtContent>
          <w:r>
            <w:rPr>
              <w:color w:val="02394D"/>
            </w:rPr>
            <w:t>al</w:t>
          </w:r>
        </w:sdtContent>
      </w:sdt>
      <w:r>
        <w:rPr>
          <w:color w:val="02394D"/>
        </w:rPr>
        <w:t xml:space="preserve">most </w:t>
      </w:r>
      <w:r w:rsidR="0077441D">
        <w:rPr>
          <w:color w:val="02394D"/>
        </w:rPr>
        <w:t xml:space="preserve">80% of </w:t>
      </w:r>
      <w:r>
        <w:rPr>
          <w:color w:val="02394D"/>
        </w:rPr>
        <w:t>European governments spend less than 0.5% of their healthcare budget on immunisation programmes</w:t>
      </w:r>
      <w:r w:rsidR="0077441D">
        <w:rPr>
          <w:color w:val="02394D"/>
        </w:rPr>
        <w:t xml:space="preserve"> </w:t>
      </w:r>
      <w:r>
        <w:rPr>
          <w:color w:val="02394D"/>
        </w:rPr>
        <w:t>– to put that into perspective, that is less than 5€ per capita spent on ensuring access to vaccines and addressing the burden of vaccine-</w:t>
      </w:r>
      <w:r>
        <w:rPr>
          <w:color w:val="02394D"/>
        </w:rPr>
        <w:t>preventable diseases.</w:t>
      </w:r>
      <w:r w:rsidRPr="6E2B4932">
        <w:rPr>
          <w:rStyle w:val="FootnoteReference"/>
          <w:color w:val="02394D"/>
          <w:vertAlign w:val="superscript"/>
        </w:rPr>
        <w:footnoteReference w:id="6088"/>
      </w:r>
      <w:r w:rsidRPr="0077441D" w:rsidR="0077441D">
        <w:rPr>
          <w:color w:val="02394D"/>
          <w:vertAlign w:val="superscript"/>
        </w:rPr>
      </w:r>
    </w:p>
    <w:p w:rsidR="00607D89" w:rsidP="00607D89" w:rsidRDefault="00607D89" w14:paraId="0F0F5AB7" w14:textId="4484869C">
      <w:pPr>
        <w:pBdr>
          <w:top w:val="nil"/>
          <w:left w:val="nil"/>
          <w:bottom w:val="nil"/>
          <w:right w:val="nil"/>
          <w:between w:val="nil"/>
        </w:pBdr>
        <w:rPr>
          <w:color w:val="02394D"/>
        </w:rPr>
      </w:pPr>
      <w:r w:rsidRPr="6E2B4932" w:rsidR="6E2B4932">
        <w:rPr>
          <w:color w:val="02394D"/>
        </w:rPr>
        <w:t>Consequently, most European countries are not offering a comprehensive life-course immunisation programme to their population, are not reaching the 75% target vaccination coverage rate for influenza vaccination</w:t>
      </w:r>
      <w:r w:rsidRPr="6E2B4932">
        <w:rPr>
          <w:rStyle w:val="FootnoteReference"/>
          <w:color w:val="02394D"/>
        </w:rPr>
        <w:footnoteReference w:id="28828"/>
      </w:r>
      <w:r w:rsidRPr="6E2B4932" w:rsidR="6E2B4932">
        <w:rPr>
          <w:color w:val="02394D"/>
        </w:rPr>
        <w:t>, are not managing the rise of vaccine hesitancy, are not benefiting from the full potential of vaccination.</w:t>
      </w:r>
    </w:p>
    <w:p w:rsidR="00607D89" w:rsidP="00607D89" w:rsidRDefault="00607D89" w14:paraId="340A6A9D" w14:textId="02D6D5D3">
      <w:pPr>
        <w:pBdr>
          <w:top w:val="nil"/>
          <w:left w:val="nil"/>
          <w:bottom w:val="nil"/>
          <w:right w:val="nil"/>
          <w:between w:val="nil"/>
        </w:pBdr>
      </w:pPr>
    </w:p>
    <w:p w:rsidR="00607D89" w:rsidP="00607D89" w:rsidRDefault="00607D89" w14:paraId="2C7BBDC9" w14:textId="321F94EC">
      <w:pPr>
        <w:pBdr>
          <w:top w:val="nil"/>
          <w:left w:val="nil"/>
          <w:bottom w:val="nil"/>
          <w:right w:val="nil"/>
          <w:between w:val="nil"/>
        </w:pBdr>
        <w:rPr>
          <w:color w:val="02394D"/>
        </w:rPr>
      </w:pPr>
      <w:r>
        <w:rPr>
          <w:color w:val="02394D"/>
        </w:rPr>
        <w:t xml:space="preserve">There has rarely been a more important time than today to explain what vaccines and vaccination can do through clear scientific evidence. Therefore, the question we asked ourselves was a simple one: how can we showcase the true value of vaccines in a way that is simple and easy to understand? We have illustrated it in three factsheets </w:t>
      </w:r>
      <w:sdt>
        <w:sdtPr>
          <w:tag w:val="goog_rdk_109"/>
          <w:id w:val="-288743056"/>
        </w:sdtPr>
        <w:sdtContent>
          <w:r>
            <w:rPr>
              <w:color w:val="02394D"/>
            </w:rPr>
            <w:t xml:space="preserve">each </w:t>
          </w:r>
        </w:sdtContent>
      </w:sdt>
      <w:r>
        <w:rPr>
          <w:color w:val="02394D"/>
        </w:rPr>
        <w:t>focusing</w:t>
      </w:r>
      <w:r>
        <w:rPr>
          <w:color w:val="02394D"/>
        </w:rPr>
        <w:t xml:space="preserve"> on a key area: </w:t>
      </w:r>
    </w:p>
    <w:p w:rsidR="00607D89" w:rsidP="00607D89" w:rsidRDefault="00607D89" w14:paraId="00A0F7AE" w14:textId="3FA19079">
      <w:pPr>
        <w:pStyle w:val="ListParagraph"/>
        <w:numPr>
          <w:ilvl w:val="0"/>
          <w:numId w:val="2"/>
        </w:numPr>
        <w:pBdr>
          <w:top w:val="nil"/>
          <w:left w:val="nil"/>
          <w:bottom w:val="nil"/>
          <w:right w:val="nil"/>
          <w:between w:val="nil"/>
        </w:pBdr>
      </w:pPr>
      <w:r>
        <w:t>The impact of vaccines on public health</w:t>
      </w:r>
    </w:p>
    <w:p w:rsidR="00607D89" w:rsidP="00607D89" w:rsidRDefault="00607D89" w14:paraId="3430425B" w14:textId="1928DC63">
      <w:pPr>
        <w:pStyle w:val="ListParagraph"/>
        <w:numPr>
          <w:ilvl w:val="0"/>
          <w:numId w:val="2"/>
        </w:numPr>
        <w:pBdr>
          <w:top w:val="nil"/>
          <w:left w:val="nil"/>
          <w:bottom w:val="nil"/>
          <w:right w:val="nil"/>
          <w:between w:val="nil"/>
        </w:pBdr>
      </w:pPr>
      <w:r>
        <w:t>The impact of vaccines on our economies</w:t>
      </w:r>
    </w:p>
    <w:p w:rsidR="00607D89" w:rsidP="00607D89" w:rsidRDefault="00607D89" w14:paraId="4F9B944F" w14:textId="06AD9828">
      <w:pPr>
        <w:pStyle w:val="ListParagraph"/>
        <w:numPr>
          <w:ilvl w:val="0"/>
          <w:numId w:val="2"/>
        </w:numPr>
        <w:pBdr>
          <w:top w:val="nil"/>
          <w:left w:val="nil"/>
          <w:bottom w:val="nil"/>
          <w:right w:val="nil"/>
          <w:between w:val="nil"/>
        </w:pBdr>
      </w:pPr>
      <w:r>
        <w:t>Budgets for prevention (and immunisation) in Europe</w:t>
      </w:r>
    </w:p>
    <w:p w:rsidR="00607D89" w:rsidP="00607D89" w:rsidRDefault="00607D89" w14:paraId="4CB2E583" w14:textId="599A792C">
      <w:pPr>
        <w:pBdr>
          <w:top w:val="nil"/>
          <w:left w:val="nil"/>
          <w:bottom w:val="nil"/>
          <w:right w:val="nil"/>
          <w:between w:val="nil"/>
        </w:pBdr>
      </w:pPr>
    </w:p>
    <w:p w:rsidR="00607D89" w:rsidP="00607D89" w:rsidRDefault="00607D89" w14:paraId="16277630" w14:textId="36E55F19">
      <w:pPr>
        <w:pBdr>
          <w:top w:val="nil"/>
          <w:left w:val="nil"/>
          <w:bottom w:val="nil"/>
          <w:right w:val="nil"/>
          <w:between w:val="nil"/>
        </w:pBdr>
        <w:rPr>
          <w:color w:val="02394D"/>
        </w:rPr>
      </w:pPr>
      <w:r>
        <w:rPr>
          <w:color w:val="02394D"/>
        </w:rPr>
        <w:lastRenderedPageBreak/>
        <w:t>While paging through figures and visualisations, you will walk through a European vaccines story: one that shows us how vaccines and vaccination have already brought an immense benefit to EU citizens, eradicating life-threatening diseases, and allowing people to lead safer and healthier lives</w:t>
      </w:r>
      <w:r>
        <w:rPr>
          <w:color w:val="02394D"/>
        </w:rPr>
        <w:t>.</w:t>
      </w:r>
    </w:p>
    <w:p w:rsidR="00607D89" w:rsidP="00607D89" w:rsidRDefault="00607D89" w14:paraId="187E20F2" w14:textId="39C295BE">
      <w:pPr>
        <w:pBdr>
          <w:top w:val="nil"/>
          <w:left w:val="nil"/>
          <w:bottom w:val="nil"/>
          <w:right w:val="nil"/>
          <w:between w:val="nil"/>
        </w:pBdr>
        <w:rPr>
          <w:color w:val="02394D"/>
        </w:rPr>
      </w:pPr>
    </w:p>
    <w:p w:rsidR="00607D89" w:rsidP="00607D89" w:rsidRDefault="00607D89" w14:paraId="78F76BD8" w14:textId="314CDDE4">
      <w:pPr>
        <w:pBdr>
          <w:top w:val="nil"/>
          <w:left w:val="nil"/>
          <w:bottom w:val="nil"/>
          <w:right w:val="nil"/>
          <w:between w:val="nil"/>
        </w:pBdr>
        <w:rPr>
          <w:color w:val="02394D"/>
        </w:rPr>
      </w:pPr>
      <w:r>
        <w:rPr>
          <w:color w:val="02394D"/>
        </w:rPr>
        <w:t>However, it also tells us that, despite all the gains, we should not lower our guard, and that if we support stronger vaccination programmes, increase coverage through equitable access, and tap into the full potential of vaccine research and innovation, the future is even brighter</w:t>
      </w:r>
      <w:r>
        <w:rPr>
          <w:color w:val="02394D"/>
        </w:rPr>
        <w:t>.</w:t>
      </w:r>
    </w:p>
    <w:p w:rsidR="00607D89" w:rsidP="00607D89" w:rsidRDefault="00607D89" w14:paraId="6CE94F8A" w14:textId="4D9D478F">
      <w:pPr>
        <w:pBdr>
          <w:top w:val="nil"/>
          <w:left w:val="nil"/>
          <w:bottom w:val="nil"/>
          <w:right w:val="nil"/>
          <w:between w:val="nil"/>
        </w:pBdr>
        <w:rPr>
          <w:color w:val="02394D"/>
        </w:rPr>
      </w:pPr>
    </w:p>
    <w:p w:rsidR="00607D89" w:rsidP="00607D89" w:rsidRDefault="00607D89" w14:paraId="25CF1E7B" w14:textId="1B6D9190">
      <w:pPr>
        <w:pBdr>
          <w:top w:val="nil"/>
          <w:left w:val="nil"/>
          <w:bottom w:val="nil"/>
          <w:right w:val="nil"/>
          <w:between w:val="nil"/>
        </w:pBdr>
        <w:rPr>
          <w:color w:val="02394D"/>
        </w:rPr>
      </w:pPr>
      <w:r>
        <w:rPr>
          <w:color w:val="02394D"/>
        </w:rPr>
        <w:t>Vaccination is an investment in health; Health is wealth!</w:t>
      </w:r>
    </w:p>
    <w:p w:rsidR="00607D89" w:rsidP="00607D89" w:rsidRDefault="00607D89" w14:paraId="5575FD08" w14:textId="2A78ECD5">
      <w:pPr>
        <w:pBdr>
          <w:top w:val="nil"/>
          <w:left w:val="nil"/>
          <w:bottom w:val="nil"/>
          <w:right w:val="nil"/>
          <w:between w:val="nil"/>
        </w:pBdr>
        <w:rPr>
          <w:color w:val="02394D"/>
        </w:rPr>
      </w:pPr>
    </w:p>
    <w:p w:rsidR="00607D89" w:rsidP="00607D89" w:rsidRDefault="00607D89" w14:paraId="7C226172" w14:textId="76D75E32">
      <w:pPr>
        <w:pBdr>
          <w:top w:val="nil"/>
          <w:left w:val="nil"/>
          <w:bottom w:val="nil"/>
          <w:right w:val="nil"/>
          <w:between w:val="nil"/>
        </w:pBdr>
      </w:pPr>
      <w:proofErr w:type="spellStart"/>
      <w:r>
        <w:rPr>
          <w:color w:val="02394D"/>
        </w:rPr>
        <w:t>Sibilia</w:t>
      </w:r>
      <w:proofErr w:type="spellEnd"/>
      <w:r>
        <w:rPr>
          <w:color w:val="02394D"/>
        </w:rPr>
        <w:t xml:space="preserve"> </w:t>
      </w:r>
      <w:proofErr w:type="spellStart"/>
      <w:r>
        <w:rPr>
          <w:color w:val="02394D"/>
        </w:rPr>
        <w:t>Quilici</w:t>
      </w:r>
      <w:proofErr w:type="spellEnd"/>
    </w:p>
    <w:p w:rsidR="00D1409B" w:rsidP="6E2B4932" w:rsidRDefault="00D1409B" w14:paraId="284C5A51" w14:noSpellErr="1" w14:textId="1B0F3E11">
      <w:pPr>
        <w:pStyle w:val="Normal"/>
        <w:rPr>
          <w:rFonts w:ascii="Calibri" w:hAnsi="Calibri" w:eastAsia="Calibri" w:cs="Calibri"/>
          <w:color w:val="024050"/>
          <w:sz w:val="22"/>
          <w:szCs w:val="22"/>
        </w:rPr>
      </w:pPr>
    </w:p>
    <w:p w:rsidR="00D1409B" w:rsidRDefault="00D1409B" w14:paraId="4BA8943A" w14:textId="1D4B5668"/>
    <w:p w:rsidR="00D1409B" w:rsidRDefault="00D1409B" w14:paraId="6E3E8562" w14:textId="6F8FE3E1"/>
    <w:sectPr w:rsidR="00607D89">
      <w:pgSz w:w="11906" w:h="16838" w:orient="portrait"/>
      <w:pgMar w:top="1440" w:right="1440" w:bottom="1440" w:left="1440" w:header="708" w:footer="708" w:gutter="0"/>
      <w:cols w:space="708"/>
      <w:docGrid w:linePitch="360"/>
      <w:headerReference w:type="default" r:id="Rf70107a924ff4651"/>
      <w:footerReference w:type="default" r:id="Rcca88fcdd00e42f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E2B4932" w:rsidTr="6E2B4932" w14:paraId="54D70326">
      <w:tc>
        <w:tcPr>
          <w:tcW w:w="3005" w:type="dxa"/>
          <w:tcMar/>
        </w:tcPr>
        <w:p w:rsidR="6E2B4932" w:rsidP="6E2B4932" w:rsidRDefault="6E2B4932" w14:paraId="2842750B" w14:textId="00D0FCE2">
          <w:pPr>
            <w:pStyle w:val="Header"/>
            <w:bidi w:val="0"/>
            <w:ind w:left="-115"/>
            <w:jc w:val="left"/>
            <w:rPr>
              <w:rFonts w:ascii="Calibri" w:hAnsi="Calibri" w:eastAsia="Calibri" w:cs="Calibri"/>
              <w:color w:val="024050"/>
              <w:sz w:val="22"/>
              <w:szCs w:val="22"/>
            </w:rPr>
          </w:pPr>
        </w:p>
      </w:tc>
      <w:tc>
        <w:tcPr>
          <w:tcW w:w="3005" w:type="dxa"/>
          <w:tcMar/>
        </w:tcPr>
        <w:p w:rsidR="6E2B4932" w:rsidP="6E2B4932" w:rsidRDefault="6E2B4932" w14:paraId="3C8095DF" w14:textId="008CE541">
          <w:pPr>
            <w:pStyle w:val="Header"/>
            <w:bidi w:val="0"/>
            <w:jc w:val="center"/>
            <w:rPr>
              <w:rFonts w:ascii="Calibri" w:hAnsi="Calibri" w:eastAsia="Calibri" w:cs="Calibri"/>
              <w:color w:val="024050"/>
              <w:sz w:val="22"/>
              <w:szCs w:val="22"/>
            </w:rPr>
          </w:pPr>
        </w:p>
      </w:tc>
      <w:tc>
        <w:tcPr>
          <w:tcW w:w="3005" w:type="dxa"/>
          <w:tcMar/>
        </w:tcPr>
        <w:p w:rsidR="6E2B4932" w:rsidP="6E2B4932" w:rsidRDefault="6E2B4932" w14:paraId="13EEB011" w14:textId="582E8011">
          <w:pPr>
            <w:pStyle w:val="Header"/>
            <w:bidi w:val="0"/>
            <w:ind w:right="-115"/>
            <w:jc w:val="right"/>
            <w:rPr>
              <w:rFonts w:ascii="Calibri" w:hAnsi="Calibri" w:eastAsia="Calibri" w:cs="Calibri"/>
              <w:color w:val="024050"/>
              <w:sz w:val="22"/>
              <w:szCs w:val="22"/>
            </w:rPr>
          </w:pPr>
        </w:p>
      </w:tc>
    </w:tr>
  </w:tbl>
  <w:p w:rsidR="6E2B4932" w:rsidP="6E2B4932" w:rsidRDefault="6E2B4932" w14:paraId="64808944" w14:textId="547886F2">
    <w:pPr>
      <w:pStyle w:val="Footer"/>
      <w:bidi w:val="0"/>
      <w:rPr>
        <w:rFonts w:ascii="Calibri" w:hAnsi="Calibri" w:eastAsia="Calibri" w:cs="Calibri"/>
        <w:color w:val="024050"/>
        <w:sz w:val="22"/>
        <w:szCs w:val="22"/>
      </w:rPr>
    </w:pPr>
  </w:p>
</w:ftr>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6E2B4932" w:rsidRDefault="6E2B4932" w14:paraId="6E22EE04" w14:textId="67378635">
      <w:pPr>
        <w:spacing w:after="0" w:line="240" w:lineRule="auto"/>
      </w:pPr>
      <w:r>
        <w:separator/>
      </w:r>
    </w:p>
  </w:footnote>
  <w:footnote w:type="continuationSeparator" w:id="0">
    <w:p w:rsidR="6E2B4932" w:rsidRDefault="6E2B4932" w14:paraId="3D6DF6FF" w14:textId="0B7D7764">
      <w:pPr>
        <w:spacing w:after="0" w:line="240" w:lineRule="auto"/>
      </w:pPr>
      <w:r>
        <w:continuationSeparator/>
      </w:r>
    </w:p>
  </w:footnote>
  <w:footnote w:id="28202">
    <w:p w:rsidR="6E2B4932" w:rsidP="6E2B4932" w:rsidRDefault="6E2B4932" w14:paraId="017D31E9" w14:textId="30BB3DC2">
      <w:pPr>
        <w:pStyle w:val="FootnoteText"/>
        <w:bidi w:val="0"/>
        <w:ind w:firstLine="0"/>
        <w:rPr>
          <w:rFonts w:ascii="Calibri" w:hAnsi="Calibri" w:eastAsia="Calibri" w:cs="Calibri"/>
          <w:color w:val="024050"/>
          <w:sz w:val="20"/>
          <w:szCs w:val="20"/>
        </w:rPr>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color w:val="024050"/>
          <w:sz w:val="20"/>
          <w:szCs w:val="20"/>
        </w:rPr>
        <w:t xml:space="preserve"> </w:t>
      </w:r>
      <w:hyperlink r:id="Raa714af8d9f74728">
        <w:r w:rsidRPr="6E2B4932" w:rsidR="6E2B4932">
          <w:rPr>
            <w:rStyle w:val="Hyperlink"/>
            <w:rFonts w:ascii="Calibri" w:hAnsi="Calibri" w:eastAsia="Calibri" w:cs="Calibri"/>
            <w:noProof w:val="0"/>
            <w:sz w:val="20"/>
            <w:szCs w:val="20"/>
            <w:lang w:val="en-GB"/>
          </w:rPr>
          <w:t>https://www.ecdc.europa.eu/en/news-events/who-ecdc-nearly-half-million-lives-saved-covid-19-vaccination</w:t>
        </w:r>
      </w:hyperlink>
    </w:p>
  </w:footnote>
  <w:footnote w:id="10449">
    <w:p w:rsidR="6E2B4932" w:rsidP="6E2B4932" w:rsidRDefault="6E2B4932" w14:paraId="3AD393CA" w14:textId="46989540">
      <w:pPr>
        <w:pStyle w:val="FootnoteText"/>
        <w:bidi w:val="0"/>
        <w:ind w:left="0" w:firstLine="0"/>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noProof w:val="0"/>
          <w:color w:val="02394D"/>
          <w:sz w:val="20"/>
          <w:szCs w:val="20"/>
          <w:lang w:val="en-GB"/>
        </w:rPr>
        <w:t xml:space="preserve"> </w:t>
      </w:r>
      <w:r w:rsidRPr="6E2B4932" w:rsidR="6E2B4932">
        <w:rPr>
          <w:rFonts w:ascii="Calibri" w:hAnsi="Calibri" w:eastAsia="Calibri" w:cs="Calibri"/>
          <w:noProof w:val="0"/>
          <w:color w:val="02394D"/>
          <w:sz w:val="20"/>
          <w:szCs w:val="20"/>
          <w:lang w:val="en-GB"/>
        </w:rPr>
        <w:t>WHO (</w:t>
      </w:r>
      <w:r w:rsidRPr="6E2B4932" w:rsidR="6E2B4932">
        <w:rPr>
          <w:rFonts w:ascii="Calibri" w:hAnsi="Calibri" w:eastAsia="Calibri" w:cs="Calibri"/>
          <w:noProof w:val="0"/>
          <w:color w:val="02394D"/>
          <w:sz w:val="20"/>
          <w:szCs w:val="20"/>
          <w:lang w:val="en-GB"/>
        </w:rPr>
        <w:t xml:space="preserve">2019).  Immunization. </w:t>
      </w:r>
      <w:hyperlink r:id="Rc88ab33232b64e5d">
        <w:r w:rsidRPr="6E2B4932" w:rsidR="6E2B4932">
          <w:rPr>
            <w:rStyle w:val="Hyperlink"/>
            <w:rFonts w:ascii="Calibri" w:hAnsi="Calibri" w:eastAsia="Calibri" w:cs="Calibri"/>
            <w:noProof w:val="0"/>
            <w:sz w:val="20"/>
            <w:szCs w:val="20"/>
            <w:lang w:val="en-GB"/>
          </w:rPr>
          <w:t>https://www.who.int/news-room/facts-in-pictures/detail/immunization</w:t>
        </w:r>
      </w:hyperlink>
      <w:r w:rsidRPr="6E2B4932" w:rsidR="6E2B4932">
        <w:rPr>
          <w:rFonts w:ascii="Calibri" w:hAnsi="Calibri" w:eastAsia="Calibri" w:cs="Calibri"/>
          <w:noProof w:val="0"/>
          <w:color w:val="02394D"/>
          <w:sz w:val="20"/>
          <w:szCs w:val="20"/>
          <w:lang w:val="en-GB"/>
        </w:rPr>
        <w:t xml:space="preserve"> (Accessed September 2021)</w:t>
      </w:r>
    </w:p>
  </w:footnote>
  <w:footnote w:id="30047">
    <w:p w:rsidR="6E2B4932" w:rsidP="6E2B4932" w:rsidRDefault="6E2B4932" w14:paraId="3DD4F8B2" w14:textId="44ED2899">
      <w:pPr>
        <w:pStyle w:val="FootnoteText"/>
        <w:bidi w:val="0"/>
        <w:rPr>
          <w:rFonts w:ascii="Calibri" w:hAnsi="Calibri" w:eastAsia="Calibri" w:cs="Calibri"/>
          <w:noProof w:val="0"/>
          <w:color w:val="024050"/>
          <w:sz w:val="20"/>
          <w:szCs w:val="20"/>
          <w:lang w:val="en-GB"/>
        </w:rPr>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color w:val="024050"/>
          <w:sz w:val="20"/>
          <w:szCs w:val="20"/>
        </w:rPr>
        <w:t xml:space="preserve"> </w:t>
      </w:r>
      <w:r w:rsidRPr="6E741C3C" w:rsidR="6E2B4932">
        <w:rPr>
          <w:rFonts w:ascii="Calibri" w:hAnsi="Calibri" w:eastAsia="Calibri" w:cs="Calibri"/>
          <w:noProof w:val="0"/>
          <w:color w:val="02394D"/>
          <w:sz w:val="20"/>
          <w:szCs w:val="20"/>
          <w:lang w:val="en-GB" w:eastAsia="en-GB"/>
        </w:rPr>
        <w:t>Man</w:t>
      </w:r>
      <w:r w:rsidRPr="6E741C3C" w:rsidR="6E2B4932">
        <w:rPr>
          <w:rFonts w:ascii="Calibri" w:hAnsi="Calibri" w:eastAsia="Calibri" w:cs="Calibri"/>
          <w:noProof w:val="0"/>
          <w:color w:val="02394D"/>
          <w:sz w:val="20"/>
          <w:szCs w:val="20"/>
          <w:lang w:val="en-GB" w:eastAsia="en-GB"/>
        </w:rPr>
        <w:t>tel C and Cher</w:t>
      </w:r>
      <w:r w:rsidRPr="6E741C3C" w:rsidR="6E2B4932">
        <w:rPr>
          <w:rFonts w:ascii="Calibri" w:hAnsi="Calibri" w:eastAsia="Calibri" w:cs="Calibri"/>
          <w:noProof w:val="0"/>
          <w:color w:val="02394D"/>
          <w:sz w:val="20"/>
          <w:szCs w:val="20"/>
          <w:lang w:val="en-GB" w:eastAsia="en-GB"/>
        </w:rPr>
        <w:t xml:space="preserve">ian T (2020). New immunization strategies: adapting to global challenges, </w:t>
      </w:r>
      <w:proofErr w:type="spellStart"/>
      <w:r w:rsidRPr="6E741C3C" w:rsidR="6E2B4932">
        <w:rPr>
          <w:rFonts w:ascii="Calibri" w:hAnsi="Calibri" w:eastAsia="Calibri" w:cs="Calibri"/>
          <w:noProof w:val="0"/>
          <w:color w:val="02394D"/>
          <w:sz w:val="20"/>
          <w:szCs w:val="20"/>
          <w:lang w:val="en-GB" w:eastAsia="en-GB"/>
        </w:rPr>
        <w:t>Bundesgesundheitsblatt</w:t>
      </w:r>
      <w:proofErr w:type="spellEnd"/>
      <w:r w:rsidRPr="6E741C3C" w:rsidR="6E2B4932">
        <w:rPr>
          <w:rFonts w:ascii="Calibri" w:hAnsi="Calibri" w:eastAsia="Calibri" w:cs="Calibri"/>
          <w:noProof w:val="0"/>
          <w:color w:val="02394D"/>
          <w:sz w:val="20"/>
          <w:szCs w:val="20"/>
          <w:lang w:val="en-GB" w:eastAsia="en-GB"/>
        </w:rPr>
        <w:t xml:space="preserve">, </w:t>
      </w:r>
      <w:proofErr w:type="spellStart"/>
      <w:r w:rsidRPr="6E741C3C" w:rsidR="6E2B4932">
        <w:rPr>
          <w:rFonts w:ascii="Calibri" w:hAnsi="Calibri" w:eastAsia="Calibri" w:cs="Calibri"/>
          <w:noProof w:val="0"/>
          <w:color w:val="02394D"/>
          <w:sz w:val="20"/>
          <w:szCs w:val="20"/>
          <w:lang w:val="en-GB" w:eastAsia="en-GB"/>
        </w:rPr>
        <w:t>Gesundheitsforschung</w:t>
      </w:r>
      <w:proofErr w:type="spellEnd"/>
      <w:r w:rsidRPr="6E741C3C" w:rsidR="6E2B4932">
        <w:rPr>
          <w:rFonts w:ascii="Calibri" w:hAnsi="Calibri" w:eastAsia="Calibri" w:cs="Calibri"/>
          <w:noProof w:val="0"/>
          <w:color w:val="02394D"/>
          <w:sz w:val="20"/>
          <w:szCs w:val="20"/>
          <w:lang w:val="en-GB" w:eastAsia="en-GB"/>
        </w:rPr>
        <w:t xml:space="preserve">, </w:t>
      </w:r>
      <w:proofErr w:type="spellStart"/>
      <w:r w:rsidRPr="6E741C3C" w:rsidR="6E2B4932">
        <w:rPr>
          <w:rFonts w:ascii="Calibri" w:hAnsi="Calibri" w:eastAsia="Calibri" w:cs="Calibri"/>
          <w:noProof w:val="0"/>
          <w:color w:val="02394D"/>
          <w:sz w:val="20"/>
          <w:szCs w:val="20"/>
          <w:lang w:val="en-GB" w:eastAsia="en-GB"/>
        </w:rPr>
        <w:t>Gesundheitsschutz</w:t>
      </w:r>
      <w:proofErr w:type="spellEnd"/>
      <w:r w:rsidRPr="6E741C3C" w:rsidR="6E2B4932">
        <w:rPr>
          <w:rFonts w:ascii="Calibri" w:hAnsi="Calibri" w:eastAsia="Calibri" w:cs="Calibri"/>
          <w:noProof w:val="0"/>
          <w:color w:val="02394D"/>
          <w:sz w:val="20"/>
          <w:szCs w:val="20"/>
          <w:lang w:val="en-GB" w:eastAsia="en-GB"/>
        </w:rPr>
        <w:t>. 63(1):25-31.</w:t>
      </w:r>
    </w:p>
  </w:footnote>
  <w:footnote w:id="30088">
    <w:p w:rsidR="6E2B4932" w:rsidP="6E2B4932" w:rsidRDefault="6E2B4932" w14:textId="7FE00BAD" w14:paraId="3507D549">
      <w:pPr>
        <w:pStyle w:val="FootnoteText"/>
        <w:bidi w:val="0"/>
        <w:ind w:left="0" w:firstLine="0"/>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noProof w:val="0"/>
          <w:color w:val="000000" w:themeColor="text1" w:themeTint="FF" w:themeShade="FF"/>
          <w:sz w:val="20"/>
          <w:szCs w:val="20"/>
          <w:lang w:val="en-GB"/>
        </w:rPr>
        <w:t xml:space="preserve"> </w:t>
      </w:r>
      <w:proofErr w:type="spellStart"/>
      <w:r w:rsidRPr="6E741C3C" w:rsidR="6E2B4932">
        <w:rPr>
          <w:rFonts w:ascii="Calibri" w:hAnsi="Calibri" w:eastAsia="Calibri" w:cs="Calibri"/>
          <w:noProof w:val="0"/>
          <w:color w:val="02394D"/>
          <w:sz w:val="20"/>
          <w:szCs w:val="20"/>
          <w:lang w:val="en-GB" w:eastAsia="en-GB"/>
        </w:rPr>
        <w:t>Ethgen</w:t>
      </w:r>
      <w:proofErr w:type="spellEnd"/>
      <w:r w:rsidRPr="6E741C3C" w:rsidR="6E2B4932">
        <w:rPr>
          <w:rFonts w:ascii="Calibri" w:hAnsi="Calibri" w:eastAsia="Calibri" w:cs="Calibri"/>
          <w:noProof w:val="0"/>
          <w:color w:val="02394D"/>
          <w:sz w:val="20"/>
          <w:szCs w:val="20"/>
          <w:lang w:val="en-GB" w:eastAsia="en-GB"/>
        </w:rPr>
        <w:t xml:space="preserve"> O et al (2016). The cost of vaccination throughout life: A western European overview, Hum </w:t>
      </w:r>
      <w:proofErr w:type="spellStart"/>
      <w:r w:rsidRPr="6E741C3C" w:rsidR="6E2B4932">
        <w:rPr>
          <w:rFonts w:ascii="Calibri" w:hAnsi="Calibri" w:eastAsia="Calibri" w:cs="Calibri"/>
          <w:noProof w:val="0"/>
          <w:color w:val="02394D"/>
          <w:sz w:val="20"/>
          <w:szCs w:val="20"/>
          <w:lang w:val="en-GB" w:eastAsia="en-GB"/>
        </w:rPr>
        <w:t>Vaccin</w:t>
      </w:r>
      <w:proofErr w:type="spellEnd"/>
      <w:r w:rsidRPr="6E741C3C" w:rsidR="6E2B4932">
        <w:rPr>
          <w:rFonts w:ascii="Calibri" w:hAnsi="Calibri" w:eastAsia="Calibri" w:cs="Calibri"/>
          <w:noProof w:val="0"/>
          <w:color w:val="02394D"/>
          <w:sz w:val="20"/>
          <w:szCs w:val="20"/>
          <w:lang w:val="en-GB" w:eastAsia="en-GB"/>
        </w:rPr>
        <w:t xml:space="preserve"> </w:t>
      </w:r>
      <w:proofErr w:type="spellStart"/>
      <w:r w:rsidRPr="6E741C3C" w:rsidR="6E2B4932">
        <w:rPr>
          <w:rFonts w:ascii="Calibri" w:hAnsi="Calibri" w:eastAsia="Calibri" w:cs="Calibri"/>
          <w:noProof w:val="0"/>
          <w:color w:val="02394D"/>
          <w:sz w:val="20"/>
          <w:szCs w:val="20"/>
          <w:lang w:val="en-GB" w:eastAsia="en-GB"/>
        </w:rPr>
        <w:t>Immunother</w:t>
      </w:r>
      <w:proofErr w:type="spellEnd"/>
      <w:r w:rsidRPr="6E741C3C" w:rsidR="6E2B4932">
        <w:rPr>
          <w:rFonts w:ascii="Calibri" w:hAnsi="Calibri" w:eastAsia="Calibri" w:cs="Calibri"/>
          <w:noProof w:val="0"/>
          <w:color w:val="02394D"/>
          <w:sz w:val="20"/>
          <w:szCs w:val="20"/>
          <w:lang w:val="en-GB" w:eastAsia="en-GB"/>
        </w:rPr>
        <w:t>. Vol. 12(8): 2029–2037.</w:t>
      </w:r>
    </w:p>
  </w:footnote>
  <w:footnote w:id="3629">
    <w:p w:rsidR="6E2B4932" w:rsidP="6E2B4932" w:rsidRDefault="6E2B4932" w14:paraId="50EB6AE4" w14:textId="1CED22B8">
      <w:pPr>
        <w:pStyle w:val="FootnoteText"/>
        <w:bidi w:val="0"/>
        <w:ind w:firstLine="0"/>
        <w:rPr>
          <w:rFonts w:ascii="Calibri" w:hAnsi="Calibri" w:eastAsia="Calibri" w:cs="Calibri"/>
          <w:noProof w:val="0"/>
          <w:color w:val="024050"/>
          <w:sz w:val="20"/>
          <w:szCs w:val="20"/>
          <w:lang w:val="en-GB"/>
        </w:rPr>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noProof w:val="0"/>
          <w:sz w:val="20"/>
          <w:szCs w:val="20"/>
          <w:lang w:val="en-GB"/>
        </w:rPr>
        <w:t xml:space="preserve"> Preaud</w:t>
      </w:r>
      <w:r w:rsidRPr="6E2B4932" w:rsidR="6E2B4932">
        <w:rPr>
          <w:rFonts w:ascii="Calibri" w:hAnsi="Calibri" w:eastAsia="Calibri" w:cs="Calibri"/>
          <w:noProof w:val="0"/>
          <w:sz w:val="20"/>
          <w:szCs w:val="20"/>
          <w:lang w:val="en-GB"/>
        </w:rPr>
        <w:t xml:space="preserve"> E et al (2014). Annual public health and economic benefits of seasonal influenza vaccination: a European estimate. https://www.ncbi.nlm.nih.gov/pmc/articles/PMC4141103/ (Accessed September 2021).</w:t>
      </w:r>
    </w:p>
  </w:footnote>
  <w:footnote w:id="2886">
    <w:p w:rsidR="6E2B4932" w:rsidP="6E2B4932" w:rsidRDefault="6E2B4932" w14:paraId="5FC8FD83" w14:textId="16B2CC2A">
      <w:pPr>
        <w:pStyle w:val="FootnoteText"/>
        <w:bidi w:val="0"/>
        <w:ind w:firstLine="0"/>
        <w:rPr>
          <w:rFonts w:ascii="Calibri" w:hAnsi="Calibri" w:eastAsia="Calibri" w:cs="Calibri"/>
          <w:noProof w:val="0"/>
          <w:color w:val="024050"/>
          <w:sz w:val="20"/>
          <w:szCs w:val="20"/>
          <w:lang w:val="en-GB"/>
        </w:rPr>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color w:val="024050"/>
          <w:sz w:val="20"/>
          <w:szCs w:val="20"/>
        </w:rPr>
        <w:t xml:space="preserve"> </w:t>
      </w:r>
      <w:proofErr w:type="spellStart"/>
      <w:r w:rsidRPr="6E2B4932" w:rsidR="6E2B4932">
        <w:rPr>
          <w:rFonts w:ascii="Calibri" w:hAnsi="Calibri" w:eastAsia="Calibri" w:cs="Calibri"/>
          <w:noProof w:val="0"/>
          <w:sz w:val="20"/>
          <w:szCs w:val="20"/>
          <w:lang w:val="en-GB"/>
        </w:rPr>
        <w:t>Largerin</w:t>
      </w:r>
      <w:proofErr w:type="spellEnd"/>
      <w:r w:rsidRPr="6E2B4932" w:rsidR="6E2B4932">
        <w:rPr>
          <w:rFonts w:ascii="Calibri" w:hAnsi="Calibri" w:eastAsia="Calibri" w:cs="Calibri"/>
          <w:noProof w:val="0"/>
          <w:sz w:val="20"/>
          <w:szCs w:val="20"/>
          <w:lang w:val="en-GB"/>
        </w:rPr>
        <w:t xml:space="preserve"> N et al (2015). Role of vaccination in the sustainability of healthcare systems, J Mark Access Health Policy. https://www.ncbi.nlm.nih.gov/pmc/articles/PMC4802702/ (Accessed September 2021).</w:t>
      </w:r>
    </w:p>
  </w:footnote>
  <w:footnote w:id="6088">
    <w:p w:rsidR="6E2B4932" w:rsidP="6E2B4932" w:rsidRDefault="6E2B4932" w14:paraId="11552C1B" w14:textId="2E98B9B3">
      <w:pPr>
        <w:pStyle w:val="FootnoteText"/>
        <w:bidi w:val="0"/>
        <w:ind w:firstLine="0"/>
        <w:rPr>
          <w:rFonts w:ascii="Calibri" w:hAnsi="Calibri" w:eastAsia="Calibri" w:cs="Calibri"/>
          <w:noProof w:val="0"/>
          <w:color w:val="024050"/>
          <w:sz w:val="20"/>
          <w:szCs w:val="20"/>
          <w:lang w:val="en-GB"/>
        </w:rPr>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color w:val="024050"/>
          <w:sz w:val="20"/>
          <w:szCs w:val="20"/>
        </w:rPr>
        <w:t xml:space="preserve"> </w:t>
      </w:r>
      <w:r w:rsidRPr="6E2B4932" w:rsidR="6E2B4932">
        <w:rPr>
          <w:rFonts w:ascii="Calibri" w:hAnsi="Calibri" w:eastAsia="Calibri" w:cs="Calibri"/>
          <w:noProof w:val="0"/>
          <w:color w:val="02394D"/>
          <w:sz w:val="20"/>
          <w:szCs w:val="20"/>
          <w:lang w:val="fr"/>
        </w:rPr>
        <w:t xml:space="preserve">Faivre P et al (2021). </w:t>
      </w:r>
      <w:r w:rsidRPr="6E2B4932" w:rsidR="6E2B4932">
        <w:rPr>
          <w:rFonts w:ascii="Calibri" w:hAnsi="Calibri" w:eastAsia="Calibri" w:cs="Calibri"/>
          <w:noProof w:val="0"/>
          <w:color w:val="02394D"/>
          <w:sz w:val="20"/>
          <w:szCs w:val="20"/>
          <w:lang w:val="en-GB"/>
        </w:rPr>
        <w:t>Immunization funding across 28 European countries, Expert Rev Vaccines. https://www.tandfonline.com/doi/full/10.1080/14760584.2021.1905257 (Accessed September 2021).</w:t>
      </w:r>
    </w:p>
  </w:footnote>
  <w:footnote w:id="28828">
    <w:p w:rsidR="6E2B4932" w:rsidP="6E2B4932" w:rsidRDefault="6E2B4932" w14:paraId="11495982" w14:textId="2A47FC58">
      <w:pPr>
        <w:pStyle w:val="FootnoteText"/>
        <w:bidi w:val="0"/>
        <w:ind w:firstLine="0"/>
        <w:rPr>
          <w:rFonts w:ascii="Calibri" w:hAnsi="Calibri" w:eastAsia="Calibri" w:cs="Calibri"/>
          <w:noProof w:val="0"/>
          <w:color w:val="024050"/>
          <w:sz w:val="20"/>
          <w:szCs w:val="20"/>
          <w:lang w:val="en-GB"/>
        </w:rPr>
      </w:pPr>
      <w:r w:rsidRPr="6E2B4932">
        <w:rPr>
          <w:rStyle w:val="FootnoteReference"/>
          <w:rFonts w:ascii="Calibri" w:hAnsi="Calibri" w:eastAsia="Calibri" w:cs="Calibri"/>
          <w:color w:val="024050"/>
          <w:sz w:val="20"/>
          <w:szCs w:val="20"/>
        </w:rPr>
        <w:footnoteRef/>
      </w:r>
      <w:r w:rsidRPr="6E2B4932" w:rsidR="6E2B4932">
        <w:rPr>
          <w:rFonts w:ascii="Calibri" w:hAnsi="Calibri" w:eastAsia="Calibri" w:cs="Calibri"/>
          <w:color w:val="024050"/>
          <w:sz w:val="20"/>
          <w:szCs w:val="20"/>
        </w:rPr>
        <w:t xml:space="preserve"> </w:t>
      </w:r>
      <w:hyperlink r:id="R0bdf4ecf8b4643a6">
        <w:r w:rsidRPr="6E2B4932" w:rsidR="6E2B4932">
          <w:rPr>
            <w:rStyle w:val="Hyperlink"/>
            <w:rFonts w:ascii="Calibri" w:hAnsi="Calibri" w:eastAsia="Calibri" w:cs="Calibri"/>
            <w:strike w:val="0"/>
            <w:dstrike w:val="0"/>
            <w:noProof w:val="0"/>
            <w:sz w:val="20"/>
            <w:szCs w:val="20"/>
            <w:lang w:val="en-GB"/>
          </w:rPr>
          <w:t>https://eur-lex.europa.eu/legal-content/EN/TXT/PDF/?uri=CELEX:32009H1019&amp;from=HU</w:t>
        </w:r>
      </w:hyperlink>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E2B4932" w:rsidTr="6E2B4932" w14:paraId="0B9A2193">
      <w:tc>
        <w:tcPr>
          <w:tcW w:w="3005" w:type="dxa"/>
          <w:tcMar/>
        </w:tcPr>
        <w:p w:rsidR="6E2B4932" w:rsidP="6E2B4932" w:rsidRDefault="6E2B4932" w14:paraId="17024126" w14:textId="4510038C">
          <w:pPr>
            <w:pStyle w:val="Header"/>
            <w:bidi w:val="0"/>
            <w:ind w:left="-115"/>
            <w:jc w:val="left"/>
            <w:rPr>
              <w:rFonts w:ascii="Calibri" w:hAnsi="Calibri" w:eastAsia="Calibri" w:cs="Calibri"/>
              <w:color w:val="024050"/>
              <w:sz w:val="22"/>
              <w:szCs w:val="22"/>
            </w:rPr>
          </w:pPr>
        </w:p>
      </w:tc>
      <w:tc>
        <w:tcPr>
          <w:tcW w:w="3005" w:type="dxa"/>
          <w:tcMar/>
        </w:tcPr>
        <w:p w:rsidR="6E2B4932" w:rsidP="6E2B4932" w:rsidRDefault="6E2B4932" w14:paraId="54D25508" w14:textId="0F6FDEE9">
          <w:pPr>
            <w:pStyle w:val="Header"/>
            <w:bidi w:val="0"/>
            <w:jc w:val="center"/>
            <w:rPr>
              <w:rFonts w:ascii="Calibri" w:hAnsi="Calibri" w:eastAsia="Calibri" w:cs="Calibri"/>
              <w:color w:val="024050"/>
              <w:sz w:val="22"/>
              <w:szCs w:val="22"/>
            </w:rPr>
          </w:pPr>
        </w:p>
      </w:tc>
      <w:tc>
        <w:tcPr>
          <w:tcW w:w="3005" w:type="dxa"/>
          <w:tcMar/>
        </w:tcPr>
        <w:p w:rsidR="6E2B4932" w:rsidP="6E2B4932" w:rsidRDefault="6E2B4932" w14:paraId="63FC316D" w14:textId="6E90736B">
          <w:pPr>
            <w:pStyle w:val="Header"/>
            <w:bidi w:val="0"/>
            <w:ind w:right="-115"/>
            <w:jc w:val="right"/>
            <w:rPr>
              <w:rFonts w:ascii="Calibri" w:hAnsi="Calibri" w:eastAsia="Calibri" w:cs="Calibri"/>
              <w:color w:val="024050"/>
              <w:sz w:val="22"/>
              <w:szCs w:val="22"/>
            </w:rPr>
          </w:pPr>
        </w:p>
      </w:tc>
    </w:tr>
  </w:tbl>
  <w:p w:rsidR="6E2B4932" w:rsidP="6E2B4932" w:rsidRDefault="6E2B4932" w14:paraId="1796F7C6" w14:textId="4757D53C">
    <w:pPr>
      <w:pStyle w:val="Header"/>
      <w:bidi w:val="0"/>
      <w:rPr>
        <w:rFonts w:ascii="Calibri" w:hAnsi="Calibri" w:eastAsia="Calibri" w:cs="Calibri"/>
        <w:color w:val="02405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E52F5E"/>
    <w:multiLevelType w:val="hybridMultilevel"/>
    <w:tmpl w:val="8F5C54D6"/>
    <w:lvl w:ilvl="0" w:tplc="79CC22D4">
      <w:start w:val="1"/>
      <w:numFmt w:val="bullet"/>
      <w:lvlText w:val="-"/>
      <w:lvlJc w:val="left"/>
      <w:pPr>
        <w:ind w:left="720" w:hanging="360"/>
      </w:pPr>
      <w:rPr>
        <w:rFonts w:hint="default" w:ascii="Calibri" w:hAnsi="Calibri" w:eastAsia="Calibri" w:cs="Calibri"/>
        <w:color w:val="0239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1997278"/>
    <w:multiLevelType w:val="hybridMultilevel"/>
    <w:tmpl w:val="EF449FBE"/>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9B"/>
    <w:rsid w:val="00127C97"/>
    <w:rsid w:val="00607D89"/>
    <w:rsid w:val="0077441D"/>
    <w:rsid w:val="00834C15"/>
    <w:rsid w:val="00AB0EF0"/>
    <w:rsid w:val="00D1409B"/>
    <w:rsid w:val="00F75BE4"/>
    <w:rsid w:val="12A1E0B3"/>
    <w:rsid w:val="59323B8D"/>
    <w:rsid w:val="6E2B4932"/>
    <w:rsid w:val="6E741C3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C499"/>
  <w15:chartTrackingRefBased/>
  <w15:docId w15:val="{58CA5CC9-8503-9E46-964A-A37E2BB3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409B"/>
    <w:rPr>
      <w:rFonts w:ascii="Calibri" w:hAnsi="Calibri" w:eastAsia="Calibri" w:cs="Calibri"/>
      <w:color w:val="024050"/>
      <w:sz w:val="22"/>
      <w:szCs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409B"/>
    <w:pPr>
      <w:ind w:left="720"/>
      <w:contextualSpacing/>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DefaultParagraphFont"/>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6588">
      <w:bodyDiv w:val="1"/>
      <w:marLeft w:val="0"/>
      <w:marRight w:val="0"/>
      <w:marTop w:val="0"/>
      <w:marBottom w:val="0"/>
      <w:divBdr>
        <w:top w:val="none" w:sz="0" w:space="0" w:color="auto"/>
        <w:left w:val="none" w:sz="0" w:space="0" w:color="auto"/>
        <w:bottom w:val="none" w:sz="0" w:space="0" w:color="auto"/>
        <w:right w:val="none" w:sz="0" w:space="0" w:color="auto"/>
      </w:divBdr>
    </w:div>
    <w:div w:id="1261908318">
      <w:bodyDiv w:val="1"/>
      <w:marLeft w:val="0"/>
      <w:marRight w:val="0"/>
      <w:marTop w:val="0"/>
      <w:marBottom w:val="0"/>
      <w:divBdr>
        <w:top w:val="none" w:sz="0" w:space="0" w:color="auto"/>
        <w:left w:val="none" w:sz="0" w:space="0" w:color="auto"/>
        <w:bottom w:val="none" w:sz="0" w:space="0" w:color="auto"/>
        <w:right w:val="none" w:sz="0" w:space="0" w:color="auto"/>
      </w:divBdr>
    </w:div>
    <w:div w:id="1376277943">
      <w:bodyDiv w:val="1"/>
      <w:marLeft w:val="0"/>
      <w:marRight w:val="0"/>
      <w:marTop w:val="0"/>
      <w:marBottom w:val="0"/>
      <w:divBdr>
        <w:top w:val="none" w:sz="0" w:space="0" w:color="auto"/>
        <w:left w:val="none" w:sz="0" w:space="0" w:color="auto"/>
        <w:bottom w:val="none" w:sz="0" w:space="0" w:color="auto"/>
        <w:right w:val="none" w:sz="0" w:space="0" w:color="auto"/>
      </w:divBdr>
    </w:div>
    <w:div w:id="19507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glossaryDocument" Target="glossary/document.xml" Id="Rb453149b883543e6" /><Relationship Type="http://schemas.openxmlformats.org/officeDocument/2006/relationships/header" Target="header.xml" Id="Rf70107a924ff4651" /><Relationship Type="http://schemas.openxmlformats.org/officeDocument/2006/relationships/footer" Target="footer.xml" Id="Rcca88fcdd00e42f9" /><Relationship Type="http://schemas.openxmlformats.org/officeDocument/2006/relationships/footnotes" Target="footnotes.xml" Id="R82e66c88d0c642c5" /></Relationships>
</file>

<file path=word/_rels/footnotes.xml.rels>&#65279;<?xml version="1.0" encoding="utf-8"?><Relationships xmlns="http://schemas.openxmlformats.org/package/2006/relationships"><Relationship Type="http://schemas.openxmlformats.org/officeDocument/2006/relationships/hyperlink" Target="https://eur-lex.europa.eu/legal-content/EN/TXT/PDF/?uri=CELEX:32009H1019&amp;from=HU" TargetMode="External" Id="R0bdf4ecf8b4643a6" /><Relationship Type="http://schemas.openxmlformats.org/officeDocument/2006/relationships/hyperlink" Target="https://www.ecdc.europa.eu/en/news-events/who-ecdc-nearly-half-million-lives-saved-covid-19-vaccination" TargetMode="External" Id="Raa714af8d9f74728" /><Relationship Type="http://schemas.openxmlformats.org/officeDocument/2006/relationships/hyperlink" Target="https://www.who.int/news-room/facts-in-pictures/detail/immunization" TargetMode="External" Id="Rc88ab33232b64e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cf514a-e1e6-4bcf-a9bd-0068d545bf72}"/>
      </w:docPartPr>
      <w:docPartBody>
        <w:p w14:paraId="70C27C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Tania Terron Flores</dc:creator>
  <keywords/>
  <dc:description/>
  <lastModifiedBy>Tania Terron Flores</lastModifiedBy>
  <revision>5</revision>
  <dcterms:created xsi:type="dcterms:W3CDTF">2022-02-07T09:06:00.0000000Z</dcterms:created>
  <dcterms:modified xsi:type="dcterms:W3CDTF">2022-02-15T12:38:59.0423271Z</dcterms:modified>
</coreProperties>
</file>